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CD3B3" w14:textId="11FD4721" w:rsidR="00CC4AA6" w:rsidRPr="00CC4AA6" w:rsidRDefault="00CC4AA6" w:rsidP="00CC4AA6">
      <w:pPr>
        <w:jc w:val="center"/>
      </w:pPr>
      <w:r w:rsidRPr="00CC4AA6">
        <w:t>Diário Oficial da União</w:t>
      </w:r>
      <w:r>
        <w:t xml:space="preserve"> - </w:t>
      </w:r>
      <w:r w:rsidRPr="00CC4AA6">
        <w:t>22/10/2026 | Edição: 200 | Seção: 1 | Página: 35</w:t>
      </w:r>
    </w:p>
    <w:p w14:paraId="2BB93FD3" w14:textId="77777777" w:rsidR="00CC4AA6" w:rsidRDefault="00CC4AA6" w:rsidP="00CC4AA6">
      <w:pPr>
        <w:jc w:val="center"/>
        <w:rPr>
          <w:b/>
          <w:bCs/>
        </w:rPr>
      </w:pPr>
      <w:r w:rsidRPr="00CC4AA6">
        <w:rPr>
          <w:b/>
          <w:bCs/>
        </w:rPr>
        <w:t>Ministério da Fazenda</w:t>
      </w:r>
    </w:p>
    <w:p w14:paraId="42226D58" w14:textId="2F109F3A" w:rsidR="00CC4AA6" w:rsidRPr="00CC4AA6" w:rsidRDefault="00CC4AA6" w:rsidP="00CC4AA6">
      <w:pPr>
        <w:jc w:val="center"/>
      </w:pPr>
      <w:r w:rsidRPr="00CC4AA6">
        <w:rPr>
          <w:b/>
          <w:bCs/>
        </w:rPr>
        <w:t>Comitê Gestor do Simples Nacional</w:t>
      </w:r>
    </w:p>
    <w:p w14:paraId="3DC9916D" w14:textId="77777777" w:rsidR="00CC4AA6" w:rsidRPr="00CC4AA6" w:rsidRDefault="00CC4AA6" w:rsidP="00CC4AA6">
      <w:pPr>
        <w:jc w:val="center"/>
        <w:rPr>
          <w:b/>
          <w:bCs/>
        </w:rPr>
      </w:pPr>
      <w:r w:rsidRPr="00CC4AA6">
        <w:rPr>
          <w:b/>
          <w:bCs/>
        </w:rPr>
        <w:t>RESOLUÇÃO CGSN Nº 195, DE 21 DE OUTUBRO DE 2026</w:t>
      </w:r>
    </w:p>
    <w:p w14:paraId="78DCCEDF" w14:textId="4432DA16" w:rsidR="00CC4AA6" w:rsidRPr="00CC4AA6" w:rsidRDefault="00CC4AA6" w:rsidP="00CC4AA6">
      <w:pPr>
        <w:ind w:left="3402"/>
        <w:jc w:val="both"/>
      </w:pPr>
      <w:r w:rsidRPr="00CC4AA6">
        <w:t xml:space="preserve">Altera a </w:t>
      </w:r>
      <w:hyperlink r:id="rId4" w:history="1">
        <w:r w:rsidRPr="00CC4AA6">
          <w:rPr>
            <w:rStyle w:val="Hyperlink"/>
          </w:rPr>
          <w:t>Resolução CGSN nº 140, de 22 de maio de 2018</w:t>
        </w:r>
      </w:hyperlink>
      <w:r w:rsidRPr="00CC4AA6">
        <w:t>, que dispõe sobre o Regime Especial Unificado de Arrecadação de Tributos e Contribuições devidos pelas Microempresas e Empresas de Pequeno Porte - Simples Nacional.</w:t>
      </w:r>
    </w:p>
    <w:p w14:paraId="49F93DC4" w14:textId="77777777" w:rsidR="00CC4AA6" w:rsidRPr="00CC4AA6" w:rsidRDefault="00CC4AA6" w:rsidP="00CC4AA6">
      <w:pPr>
        <w:jc w:val="both"/>
      </w:pPr>
      <w:r w:rsidRPr="00CC4AA6">
        <w:t>O Comitê Gestor do Simples Nacional, no uso das atribuições que lhe conferem a Lei Complementar nº 123, de 14 de dezembro de 2006, o Decreto nº 6.038, de 7 de fevereiro de 2007, e o Regimento Interno aprovado pela Resolução CGSN nº 176, de 19 de junho de 2024, resolve:</w:t>
      </w:r>
    </w:p>
    <w:p w14:paraId="79C372AC" w14:textId="41A2A976" w:rsidR="00CC4AA6" w:rsidRPr="00CC4AA6" w:rsidRDefault="00CC4AA6" w:rsidP="00CC4AA6">
      <w:pPr>
        <w:jc w:val="both"/>
      </w:pPr>
      <w:r w:rsidRPr="00CC4AA6">
        <w:t xml:space="preserve">Art. 1º A </w:t>
      </w:r>
      <w:hyperlink r:id="rId5" w:history="1">
        <w:r w:rsidRPr="00CC4AA6">
          <w:rPr>
            <w:rStyle w:val="Hyperlink"/>
          </w:rPr>
          <w:t>Resolução CGSN nº 140, de 22 de maio de 2018</w:t>
        </w:r>
      </w:hyperlink>
      <w:r w:rsidRPr="00CC4AA6">
        <w:t>, passa a vigorar com as seguintes alterações:</w:t>
      </w:r>
    </w:p>
    <w:p w14:paraId="5A1334F5" w14:textId="12EB921B" w:rsidR="00CC4AA6" w:rsidRPr="00CC4AA6" w:rsidRDefault="00CC4AA6" w:rsidP="00CC4AA6">
      <w:pPr>
        <w:jc w:val="both"/>
      </w:pPr>
      <w:commentRangeStart w:id="0"/>
      <w:r w:rsidRPr="00CC4AA6">
        <w:t>"Art. 91</w:t>
      </w:r>
      <w:commentRangeEnd w:id="0"/>
      <w:r w:rsidRPr="00CC4AA6">
        <w:rPr>
          <w:rStyle w:val="Refdecomentrio"/>
          <w:sz w:val="24"/>
          <w:szCs w:val="24"/>
        </w:rPr>
        <w:commentReference w:id="0"/>
      </w:r>
    </w:p>
    <w:p w14:paraId="0AD54AD5" w14:textId="7250CB14" w:rsidR="00CC4AA6" w:rsidRPr="00CC4AA6" w:rsidRDefault="00CC4AA6" w:rsidP="00CC4AA6">
      <w:pPr>
        <w:jc w:val="both"/>
      </w:pPr>
      <w:commentRangeStart w:id="1"/>
      <w:r w:rsidRPr="00CC4AA6">
        <w:t>Parágrafo único</w:t>
      </w:r>
      <w:commentRangeEnd w:id="1"/>
      <w:r w:rsidRPr="00CC4AA6">
        <w:rPr>
          <w:rStyle w:val="Refdecomentrio"/>
          <w:sz w:val="24"/>
          <w:szCs w:val="24"/>
        </w:rPr>
        <w:commentReference w:id="1"/>
      </w:r>
    </w:p>
    <w:p w14:paraId="33A48A99" w14:textId="77777777" w:rsidR="00CC4AA6" w:rsidRPr="00CC4AA6" w:rsidRDefault="00CC4AA6" w:rsidP="00CC4AA6">
      <w:pPr>
        <w:jc w:val="both"/>
      </w:pPr>
      <w:r w:rsidRPr="00CC4AA6">
        <w:t>II - da emissão de documento fiscal previsto no art. 59, observado, com relação ao MEI, o disposto no art. 106-C. (Lei Complementar nº 123, de 2006, art. 26, inciso I e § 1º)" (NR)</w:t>
      </w:r>
    </w:p>
    <w:p w14:paraId="4A65D26B" w14:textId="77777777" w:rsidR="00CC4AA6" w:rsidRPr="00CC4AA6" w:rsidRDefault="00CC4AA6" w:rsidP="00CC4AA6">
      <w:pPr>
        <w:jc w:val="both"/>
      </w:pPr>
      <w:r w:rsidRPr="00CC4AA6">
        <w:t>"Art. 106-C. A Declaração Anual Simplificada para o Microempreendedor Individual (DASN-Simei), de que trata o art. 109, poderá ser utilizada como documento fiscal eletrônico relativo às vendas de mercadorias e às prestações de serviços realizadas pelo MEI a consumidor final pessoa física não inscrita no CNPJ, para fins do disposto nos arts. 106, 106-A e 106-B desta Resolução. (Lei Complementar nº 123, de 2006, art. 2º, inciso I e § 6º; art. 25-B; e art. 26, §§ 1º, 6º, inciso II, e 15)" (NR)</w:t>
      </w:r>
    </w:p>
    <w:p w14:paraId="3F462D9C" w14:textId="77777777" w:rsidR="00CC4AA6" w:rsidRPr="00CC4AA6" w:rsidRDefault="00CC4AA6" w:rsidP="00CC4AA6">
      <w:pPr>
        <w:jc w:val="both"/>
      </w:pPr>
      <w:r w:rsidRPr="00CC4AA6">
        <w:t>Art. 2º Esta Resolução entra em vigor na data de sua publicação no Diário Oficial da União e produzirá efeitos a partir de 1º de janeiro de 2027.</w:t>
      </w:r>
    </w:p>
    <w:p w14:paraId="0250923E" w14:textId="77777777" w:rsidR="00CC4AA6" w:rsidRPr="00CC4AA6" w:rsidRDefault="00CC4AA6" w:rsidP="00CC4AA6">
      <w:pPr>
        <w:jc w:val="both"/>
        <w:rPr>
          <w:b/>
          <w:bCs/>
        </w:rPr>
      </w:pPr>
      <w:r w:rsidRPr="00CC4AA6">
        <w:rPr>
          <w:b/>
          <w:bCs/>
        </w:rPr>
        <w:t>ADRIANA GOMES RÊGO</w:t>
      </w:r>
    </w:p>
    <w:p w14:paraId="6806FC75" w14:textId="77777777" w:rsidR="00CC4AA6" w:rsidRPr="00CC4AA6" w:rsidRDefault="00CC4AA6" w:rsidP="00CC4AA6">
      <w:pPr>
        <w:jc w:val="both"/>
      </w:pPr>
      <w:r w:rsidRPr="00CC4AA6">
        <w:t>Vice-Presidente do Comitê</w:t>
      </w:r>
    </w:p>
    <w:p w14:paraId="0CD69AEB" w14:textId="77777777" w:rsidR="00702ADD" w:rsidRDefault="00702ADD" w:rsidP="00CC4AA6">
      <w:pPr>
        <w:jc w:val="both"/>
      </w:pPr>
    </w:p>
    <w:sectPr w:rsidR="00702ADD">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dilene Soares" w:date="2026-10-22T09:15:00Z" w:initials="ES">
    <w:p w14:paraId="208BC417" w14:textId="77777777" w:rsidR="00CC4AA6" w:rsidRDefault="00CC4AA6" w:rsidP="00CC4AA6">
      <w:pPr>
        <w:pStyle w:val="Textodecomentrio"/>
      </w:pPr>
      <w:r>
        <w:rPr>
          <w:rStyle w:val="Refdecomentrio"/>
        </w:rPr>
        <w:annotationRef/>
      </w:r>
      <w:r>
        <w:rPr>
          <w:color w:val="162937"/>
          <w:highlight w:val="white"/>
        </w:rPr>
        <w:t>Art. 91. Aplicam-se à ME e à EPP optantes pelo Simples Nacional todas as presunções de omissão de receita existentes nas legislações de regência dos tributos incluídos no Simples Nacional. (Lei Complementar nº 123, de 2006, art. 34)</w:t>
      </w:r>
      <w:r>
        <w:t xml:space="preserve"> </w:t>
      </w:r>
    </w:p>
  </w:comment>
  <w:comment w:id="1" w:author="Edilene Soares" w:date="2026-10-22T09:16:00Z" w:initials="ES">
    <w:p w14:paraId="66646B07" w14:textId="77777777" w:rsidR="00CC4AA6" w:rsidRDefault="00CC4AA6" w:rsidP="00CC4AA6">
      <w:pPr>
        <w:pStyle w:val="Textodecomentrio"/>
      </w:pPr>
      <w:r>
        <w:rPr>
          <w:rStyle w:val="Refdecomentrio"/>
        </w:rPr>
        <w:annotationRef/>
      </w:r>
      <w:r>
        <w:rPr>
          <w:color w:val="162937"/>
          <w:highlight w:val="white"/>
        </w:rPr>
        <w:t>Parágrafo único. A existência de tributação prévia por estimativa, estabelecida em legislação do ente federado não desobrigará:</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08BC417" w15:done="0"/>
  <w15:commentEx w15:paraId="66646B0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8556E29" w16cex:dateUtc="2026-10-22T12:15:00Z"/>
  <w16cex:commentExtensible w16cex:durableId="53E1851C" w16cex:dateUtc="2026-10-22T12: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8BC417" w16cid:durableId="58556E29"/>
  <w16cid:commentId w16cid:paraId="66646B07" w16cid:durableId="53E1851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dilene Soares">
    <w15:presenceInfo w15:providerId="None" w15:userId="Edilene Soar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AA6"/>
    <w:rsid w:val="00062BD8"/>
    <w:rsid w:val="00702ADD"/>
    <w:rsid w:val="00956F4F"/>
    <w:rsid w:val="00CC4AA6"/>
    <w:rsid w:val="00F10D3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3D2B7"/>
  <w15:chartTrackingRefBased/>
  <w15:docId w15:val="{362D76CA-C01D-473D-B14B-42F1F4E57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CC4A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CC4A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CC4AA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CC4AA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CC4AA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CC4AA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CC4AA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CC4AA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CC4AA6"/>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C4AA6"/>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CC4AA6"/>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CC4AA6"/>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CC4AA6"/>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CC4AA6"/>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CC4AA6"/>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CC4AA6"/>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CC4AA6"/>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CC4AA6"/>
    <w:rPr>
      <w:rFonts w:eastAsiaTheme="majorEastAsia" w:cstheme="majorBidi"/>
      <w:color w:val="272727" w:themeColor="text1" w:themeTint="D8"/>
    </w:rPr>
  </w:style>
  <w:style w:type="paragraph" w:styleId="Ttulo">
    <w:name w:val="Title"/>
    <w:basedOn w:val="Normal"/>
    <w:next w:val="Normal"/>
    <w:link w:val="TtuloChar"/>
    <w:uiPriority w:val="10"/>
    <w:qFormat/>
    <w:rsid w:val="00CC4A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CC4AA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CC4AA6"/>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CC4AA6"/>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CC4AA6"/>
    <w:pPr>
      <w:spacing w:before="160"/>
      <w:jc w:val="center"/>
    </w:pPr>
    <w:rPr>
      <w:i/>
      <w:iCs/>
      <w:color w:val="404040" w:themeColor="text1" w:themeTint="BF"/>
    </w:rPr>
  </w:style>
  <w:style w:type="character" w:customStyle="1" w:styleId="CitaoChar">
    <w:name w:val="Citação Char"/>
    <w:basedOn w:val="Fontepargpadro"/>
    <w:link w:val="Citao"/>
    <w:uiPriority w:val="29"/>
    <w:rsid w:val="00CC4AA6"/>
    <w:rPr>
      <w:i/>
      <w:iCs/>
      <w:color w:val="404040" w:themeColor="text1" w:themeTint="BF"/>
    </w:rPr>
  </w:style>
  <w:style w:type="paragraph" w:styleId="PargrafodaLista">
    <w:name w:val="List Paragraph"/>
    <w:basedOn w:val="Normal"/>
    <w:uiPriority w:val="34"/>
    <w:qFormat/>
    <w:rsid w:val="00CC4AA6"/>
    <w:pPr>
      <w:ind w:left="720"/>
      <w:contextualSpacing/>
    </w:pPr>
  </w:style>
  <w:style w:type="character" w:styleId="nfaseIntensa">
    <w:name w:val="Intense Emphasis"/>
    <w:basedOn w:val="Fontepargpadro"/>
    <w:uiPriority w:val="21"/>
    <w:qFormat/>
    <w:rsid w:val="00CC4AA6"/>
    <w:rPr>
      <w:i/>
      <w:iCs/>
      <w:color w:val="0F4761" w:themeColor="accent1" w:themeShade="BF"/>
    </w:rPr>
  </w:style>
  <w:style w:type="paragraph" w:styleId="CitaoIntensa">
    <w:name w:val="Intense Quote"/>
    <w:basedOn w:val="Normal"/>
    <w:next w:val="Normal"/>
    <w:link w:val="CitaoIntensaChar"/>
    <w:uiPriority w:val="30"/>
    <w:qFormat/>
    <w:rsid w:val="00CC4A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CC4AA6"/>
    <w:rPr>
      <w:i/>
      <w:iCs/>
      <w:color w:val="0F4761" w:themeColor="accent1" w:themeShade="BF"/>
    </w:rPr>
  </w:style>
  <w:style w:type="character" w:styleId="RefernciaIntensa">
    <w:name w:val="Intense Reference"/>
    <w:basedOn w:val="Fontepargpadro"/>
    <w:uiPriority w:val="32"/>
    <w:qFormat/>
    <w:rsid w:val="00CC4AA6"/>
    <w:rPr>
      <w:b/>
      <w:bCs/>
      <w:smallCaps/>
      <w:color w:val="0F4761" w:themeColor="accent1" w:themeShade="BF"/>
      <w:spacing w:val="5"/>
    </w:rPr>
  </w:style>
  <w:style w:type="character" w:styleId="Hyperlink">
    <w:name w:val="Hyperlink"/>
    <w:basedOn w:val="Fontepargpadro"/>
    <w:uiPriority w:val="99"/>
    <w:unhideWhenUsed/>
    <w:rsid w:val="00CC4AA6"/>
    <w:rPr>
      <w:color w:val="467886" w:themeColor="hyperlink"/>
      <w:u w:val="single"/>
    </w:rPr>
  </w:style>
  <w:style w:type="character" w:styleId="MenoPendente">
    <w:name w:val="Unresolved Mention"/>
    <w:basedOn w:val="Fontepargpadro"/>
    <w:uiPriority w:val="99"/>
    <w:semiHidden/>
    <w:unhideWhenUsed/>
    <w:rsid w:val="00CC4AA6"/>
    <w:rPr>
      <w:color w:val="605E5C"/>
      <w:shd w:val="clear" w:color="auto" w:fill="E1DFDD"/>
    </w:rPr>
  </w:style>
  <w:style w:type="character" w:styleId="Refdecomentrio">
    <w:name w:val="annotation reference"/>
    <w:basedOn w:val="Fontepargpadro"/>
    <w:uiPriority w:val="99"/>
    <w:semiHidden/>
    <w:unhideWhenUsed/>
    <w:rsid w:val="00CC4AA6"/>
    <w:rPr>
      <w:sz w:val="16"/>
      <w:szCs w:val="16"/>
    </w:rPr>
  </w:style>
  <w:style w:type="paragraph" w:styleId="Textodecomentrio">
    <w:name w:val="annotation text"/>
    <w:basedOn w:val="Normal"/>
    <w:link w:val="TextodecomentrioChar"/>
    <w:uiPriority w:val="99"/>
    <w:unhideWhenUsed/>
    <w:rsid w:val="00CC4AA6"/>
    <w:pPr>
      <w:spacing w:line="240" w:lineRule="auto"/>
    </w:pPr>
    <w:rPr>
      <w:sz w:val="20"/>
      <w:szCs w:val="20"/>
    </w:rPr>
  </w:style>
  <w:style w:type="character" w:customStyle="1" w:styleId="TextodecomentrioChar">
    <w:name w:val="Texto de comentário Char"/>
    <w:basedOn w:val="Fontepargpadro"/>
    <w:link w:val="Textodecomentrio"/>
    <w:uiPriority w:val="99"/>
    <w:rsid w:val="00CC4AA6"/>
    <w:rPr>
      <w:sz w:val="20"/>
      <w:szCs w:val="20"/>
    </w:rPr>
  </w:style>
  <w:style w:type="paragraph" w:styleId="Assuntodocomentrio">
    <w:name w:val="annotation subject"/>
    <w:basedOn w:val="Textodecomentrio"/>
    <w:next w:val="Textodecomentrio"/>
    <w:link w:val="AssuntodocomentrioChar"/>
    <w:uiPriority w:val="99"/>
    <w:semiHidden/>
    <w:unhideWhenUsed/>
    <w:rsid w:val="00CC4AA6"/>
    <w:rPr>
      <w:b/>
      <w:bCs/>
    </w:rPr>
  </w:style>
  <w:style w:type="character" w:customStyle="1" w:styleId="AssuntodocomentrioChar">
    <w:name w:val="Assunto do comentário Char"/>
    <w:basedOn w:val="TextodecomentrioChar"/>
    <w:link w:val="Assuntodocomentrio"/>
    <w:uiPriority w:val="99"/>
    <w:semiHidden/>
    <w:rsid w:val="00CC4AA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hyperlink" Target="https://www.in.gov.br/web/dou/-/resolucao-n-140-de-22-de-maio-de-2018-15742358" TargetMode="External"/><Relationship Id="rId10" Type="http://schemas.openxmlformats.org/officeDocument/2006/relationships/fontTable" Target="fontTable.xml"/><Relationship Id="rId4" Type="http://schemas.openxmlformats.org/officeDocument/2006/relationships/hyperlink" Target="https://www.in.gov.br/web/dou/-/resolucao-n-140-de-22-de-maio-de-2018-15742358" TargetMode="External"/><Relationship Id="rId9" Type="http://schemas.microsoft.com/office/2018/08/relationships/commentsExtensible" Target="commentsExtensi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289</Words>
  <Characters>1564</Characters>
  <Application>Microsoft Office Word</Application>
  <DocSecurity>0</DocSecurity>
  <Lines>13</Lines>
  <Paragraphs>3</Paragraphs>
  <ScaleCrop>false</ScaleCrop>
  <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Edilene Soares</dc:creator>
  <cp:keywords/>
  <dc:description/>
  <cp:lastModifiedBy>Edilene Soares</cp:lastModifiedBy>
  <cp:revision>1</cp:revision>
  <dcterms:created xsi:type="dcterms:W3CDTF">2026-10-22T12:14:00Z</dcterms:created>
  <dcterms:modified xsi:type="dcterms:W3CDTF">2026-10-22T12:17:00Z</dcterms:modified>
</cp:coreProperties>
</file>